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Godfred Nana Kruentsi Ogoe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Dennehy Hall, The Ohio State University,</w:t>
        <w:br w:type="textWrapping"/>
        <w:t xml:space="preserve">Columbus, OH, 43210</w:t>
      </w:r>
    </w:p>
    <w:p w:rsidR="00000000" w:rsidDel="00000000" w:rsidP="00000000" w:rsidRDefault="00000000" w:rsidRPr="00000000" w14:paraId="00000003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hyperlink r:id="rId6">
        <w:r w:rsidDel="00000000" w:rsidR="00000000" w:rsidRPr="00000000">
          <w:rPr>
            <w:rFonts w:ascii="EB Garamond" w:cs="EB Garamond" w:eastAsia="EB Garamond" w:hAnsi="EB Garamond"/>
            <w:u w:val="single"/>
            <w:rtl w:val="0"/>
          </w:rPr>
          <w:t xml:space="preserve">Ogoe.6@osu.edu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EDUCATION</w:t>
        <w:br w:type="textWrapping"/>
      </w:r>
    </w:p>
    <w:p w:rsidR="00000000" w:rsidDel="00000000" w:rsidP="00000000" w:rsidRDefault="00000000" w:rsidRPr="00000000" w14:paraId="00000006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PhD Student, English Renaissance Literature, The Ohio State University, USA                         Present</w:t>
      </w:r>
    </w:p>
    <w:p w:rsidR="00000000" w:rsidDel="00000000" w:rsidP="00000000" w:rsidRDefault="00000000" w:rsidRPr="00000000" w14:paraId="00000007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MFA, Shakespeare and Performance, Mary Baldwin University, USA                                             2025</w:t>
      </w:r>
    </w:p>
    <w:p w:rsidR="00000000" w:rsidDel="00000000" w:rsidP="00000000" w:rsidRDefault="00000000" w:rsidRPr="00000000" w14:paraId="00000008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MLitt, Shakespeare and Performance, Mary Baldwin University, USA                                           2024</w:t>
        <w:br w:type="textWrapping"/>
        <w:t xml:space="preserve">B.Ed., English and Ghanaian Languages, University of Cape Coast, Ghana                                  2019</w:t>
      </w:r>
    </w:p>
    <w:p w:rsidR="00000000" w:rsidDel="00000000" w:rsidP="00000000" w:rsidRDefault="00000000" w:rsidRPr="00000000" w14:paraId="00000009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TEACHING POSITIONS</w:t>
      </w:r>
    </w:p>
    <w:p w:rsidR="00000000" w:rsidDel="00000000" w:rsidP="00000000" w:rsidRDefault="00000000" w:rsidRPr="00000000" w14:paraId="0000000B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2025-2029            Graduate Teaching Associate of Writing, The Ohio State University, Columbus, OH</w:t>
        <w:br w:type="textWrapping"/>
        <w:t xml:space="preserve">2025 </w:t>
        <w:tab/>
        <w:t xml:space="preserve">                Teaching Artist, The American Shakespeare Center, Staunton, VA</w:t>
      </w:r>
    </w:p>
    <w:p w:rsidR="00000000" w:rsidDel="00000000" w:rsidP="00000000" w:rsidRDefault="00000000" w:rsidRPr="00000000" w14:paraId="0000000D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2025                       Graduate Teaching Fellow of African Dance, Mary Baldwin University, Staunton, VA</w:t>
      </w:r>
    </w:p>
    <w:p w:rsidR="00000000" w:rsidDel="00000000" w:rsidP="00000000" w:rsidRDefault="00000000" w:rsidRPr="00000000" w14:paraId="0000000E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UNIVERSITY FELLOWSHIPS GRANTED BASED ON MERIT</w:t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Teaching Fellow, The American Shakespeare Center Education Department, 2024-25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Literary Curator, Shakespeare and Performance, Mary Baldwin University, 2023-24</w:t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Literary Curator, Shakespeare and Performance, Mary Baldwin University, 2022-23</w:t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UNIVERSITY RESEARCH</w:t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“The Communal Reception of Shakespeare’s Dramatic Letters: The Case with Non-recipients”. MLitt Thesis, Mary Baldwin University, May 2024.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“Arguing in Support of the Theory of a Conflation: Shakespeare, The Performing Arts, and The Creative Writers’ Industry.” MFA Thesis, Mary Baldwin University, May 2025. </w:t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“The Influence of the Medium of Instruction on the Academic Performance of Students: A Study of Some Selected Schools in Cape Coast Metropolis, Ghana.” B. Ed. project, University of Cape Coast, May 2018.</w:t>
      </w:r>
    </w:p>
    <w:p w:rsidR="00000000" w:rsidDel="00000000" w:rsidP="00000000" w:rsidRDefault="00000000" w:rsidRPr="00000000" w14:paraId="0000001C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PUBLICATIONS</w:t>
      </w:r>
    </w:p>
    <w:p w:rsidR="00000000" w:rsidDel="00000000" w:rsidP="00000000" w:rsidRDefault="00000000" w:rsidRPr="00000000" w14:paraId="0000001E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Creative Pieces (*Unpublished)</w:t>
        <w:br w:type="textWrapping"/>
      </w:r>
    </w:p>
    <w:p w:rsidR="00000000" w:rsidDel="00000000" w:rsidP="00000000" w:rsidRDefault="00000000" w:rsidRPr="00000000" w14:paraId="00000020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*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HamOthello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: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 Conflated Play of Shakespeare’s Hamlet and Othello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“Of Broken Homes and Silent Crimes.”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An Emotion Called Life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Edited by Viswanathan, Ashoke &amp; Chatterjee, Swarupa, Exceller Books, 2025. P. 5.</w:t>
      </w:r>
    </w:p>
    <w:p w:rsidR="00000000" w:rsidDel="00000000" w:rsidP="00000000" w:rsidRDefault="00000000" w:rsidRPr="00000000" w14:paraId="0000002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br w:type="textWrapping"/>
        <w:t xml:space="preserve">Save Our Faces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: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 Prose Fiction Based on Conscience and Principles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Exceller Books, 2024.</w:t>
      </w:r>
    </w:p>
    <w:p w:rsidR="00000000" w:rsidDel="00000000" w:rsidP="00000000" w:rsidRDefault="00000000" w:rsidRPr="00000000" w14:paraId="00000024">
      <w:pPr>
        <w:spacing w:after="20" w:line="256.8" w:lineRule="auto"/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="256.8" w:lineRule="auto"/>
        <w:ind w:left="72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“Divided Mind.”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An Adventure Called Life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Edited by Viswanathan, Ashoke &amp; Chatterjee, Swarupa, Exceller Books, 2024, p. 15.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" w:line="256.8" w:lineRule="auto"/>
        <w:ind w:left="72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PRESENTATION AND CONFERENCES (* by invitation)</w:t>
      </w:r>
    </w:p>
    <w:p w:rsidR="00000000" w:rsidDel="00000000" w:rsidP="00000000" w:rsidRDefault="00000000" w:rsidRPr="00000000" w14:paraId="00000028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“The Communal Reception of Shakespeare’s Dramatic Letters”, The Open University (UK) Epistolary Conference, Online, November 2025.</w:t>
      </w:r>
    </w:p>
    <w:p w:rsidR="00000000" w:rsidDel="00000000" w:rsidP="00000000" w:rsidRDefault="00000000" w:rsidRPr="00000000" w14:paraId="0000002A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“Arguing in Support of the Theory of a Conflation: Shakespeare, The Performing Arts, and The Creative Writers’ Industry”, Ohio Valley Shakespeare Conference, Toledo, Ohio, October 2025.</w:t>
      </w:r>
    </w:p>
    <w:p w:rsidR="00000000" w:rsidDel="00000000" w:rsidP="00000000" w:rsidRDefault="00000000" w:rsidRPr="00000000" w14:paraId="0000002C">
      <w:pPr>
        <w:spacing w:after="20" w:line="256.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“Arguing in Support of the Theory of a Conflation: Shakespeare, The Performing Arts, and The Creative Writers’ Industry”, BritGrad UK Conference, Stratford Upon-Avon UK, May 2025.</w:t>
      </w:r>
    </w:p>
    <w:p w:rsidR="00000000" w:rsidDel="00000000" w:rsidP="00000000" w:rsidRDefault="00000000" w:rsidRPr="00000000" w14:paraId="0000002E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* “Shakespeare and the Theatrics of Supernaturality in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HamOthello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”, The Blackfriars’ Friday Night Lights On, The American Shakespeare Center (The Blackfriars’ Playhouse), Staunton, VA, May 2025.</w:t>
      </w:r>
    </w:p>
    <w:p w:rsidR="00000000" w:rsidDel="00000000" w:rsidP="00000000" w:rsidRDefault="00000000" w:rsidRPr="00000000" w14:paraId="00000030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“Arguing in Support of the Theory of a Conflation”: Shakespeare, The Performing Arts, and The Creative Writers’ Industry”, Inaugural MBU Graduate Capstone, Mary Baldwin University, Staunton, VA, May 2025.</w:t>
      </w:r>
    </w:p>
    <w:p w:rsidR="00000000" w:rsidDel="00000000" w:rsidP="00000000" w:rsidRDefault="00000000" w:rsidRPr="00000000" w14:paraId="00000032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“Arguing in Support of the Theory of a Conflation: Shakespeare, The Performing Arts, and The Creative Writers’ Industry”, MFA Thesis Conference, Mary Baldwin University, in Collaboration with The American Shakespeare Center, Staunton, VA, May 2025. </w:t>
      </w:r>
    </w:p>
    <w:p w:rsidR="00000000" w:rsidDel="00000000" w:rsidP="00000000" w:rsidRDefault="00000000" w:rsidRPr="00000000" w14:paraId="00000034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* Conference Chair, MLitt (2023 Cohort) Shakespeare and Performance Thesis Conference, Mary Baldwin University, in Collaboration with The American Shakespeare Center, Staunton, VA, November 2024. </w:t>
      </w:r>
    </w:p>
    <w:p w:rsidR="00000000" w:rsidDel="00000000" w:rsidP="00000000" w:rsidRDefault="00000000" w:rsidRPr="00000000" w14:paraId="00000036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="256.8" w:lineRule="auto"/>
        <w:ind w:left="720"/>
        <w:rPr>
          <w:rFonts w:ascii="EB Garamond" w:cs="EB Garamond" w:eastAsia="EB Garamond" w:hAnsi="EB Garamond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* Featured Artist, “To Blanch an Ethiop: Motifs of Blackness in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Tempest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and Jonson's “Masque of Blackness” by </w:t>
      </w:r>
      <w:r w:rsidDel="00000000" w:rsidR="00000000" w:rsidRPr="00000000">
        <w:rPr>
          <w:rFonts w:ascii="EB Garamond" w:cs="EB Garamond" w:eastAsia="EB Garamond" w:hAnsi="EB Garamond"/>
          <w:highlight w:val="white"/>
          <w:rtl w:val="0"/>
        </w:rPr>
        <w:t xml:space="preserve">Christina Gutierrez-Dennehy, The Blackfriars’ Conference, The American Shakespeare Center, Staunton, VA, November 2023.</w:t>
      </w:r>
    </w:p>
    <w:p w:rsidR="00000000" w:rsidDel="00000000" w:rsidP="00000000" w:rsidRDefault="00000000" w:rsidRPr="00000000" w14:paraId="00000038">
      <w:pPr>
        <w:spacing w:after="20" w:line="256.8" w:lineRule="auto"/>
        <w:ind w:left="720"/>
        <w:rPr>
          <w:rFonts w:ascii="EB Garamond" w:cs="EB Garamond" w:eastAsia="EB Garamond" w:hAnsi="EB 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line="256.8" w:lineRule="auto"/>
        <w:ind w:left="720"/>
        <w:rPr>
          <w:rFonts w:ascii="EB Garamond" w:cs="EB Garamond" w:eastAsia="EB Garamond" w:hAnsi="EB Garamond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highlight w:val="white"/>
          <w:rtl w:val="0"/>
        </w:rPr>
        <w:t xml:space="preserve">* Featured Artist, "Mister Master: Calling Out White Supremacy on the Blackfriars Stage" by James Keegan, The Blackfriars’ Conference, The American Shakespeare Center, Staunton, VA, November 2023.  </w:t>
      </w:r>
    </w:p>
    <w:p w:rsidR="00000000" w:rsidDel="00000000" w:rsidP="00000000" w:rsidRDefault="00000000" w:rsidRPr="00000000" w14:paraId="0000003A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“Shakespeare’s Dramatic Letters and Cognitive Distribution”, MLitt Thesis Conference. Mary Baldwin University, in Collaboration with The American Shakespeare Center, Staunton, VA, February 2023.  </w:t>
      </w:r>
    </w:p>
    <w:p w:rsidR="00000000" w:rsidDel="00000000" w:rsidP="00000000" w:rsidRDefault="00000000" w:rsidRPr="00000000" w14:paraId="0000003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THEATRICAL PRACTICES</w:t>
      </w:r>
    </w:p>
    <w:p w:rsidR="00000000" w:rsidDel="00000000" w:rsidP="00000000" w:rsidRDefault="00000000" w:rsidRPr="00000000" w14:paraId="0000003E">
      <w:pPr>
        <w:spacing w:after="20" w:line="256.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Goblins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by Sir John Suckling, a Renaissance Show  by Streetlight Shakespeare Ensemble, performed at The American Shakespeare Center, Staunton, VA, 2025.</w:t>
      </w:r>
    </w:p>
    <w:p w:rsidR="00000000" w:rsidDel="00000000" w:rsidP="00000000" w:rsidRDefault="00000000" w:rsidRPr="00000000" w14:paraId="00000040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Bartholomew Fair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by Ben Johnson, directed by Raphael Massie, Streetlight Shakespeare Ensemble, The American Shakespeare Center, Staunton, VA, 2025.</w:t>
      </w:r>
    </w:p>
    <w:p w:rsidR="00000000" w:rsidDel="00000000" w:rsidP="00000000" w:rsidRDefault="00000000" w:rsidRPr="00000000" w14:paraId="00000042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Much Ado About Nothing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by William Shakespeare, a touring production directed by Julia Sommer &amp; Abigail Olshin, Streetlight Shakespeare Ensemble, Staunton, VA, 2025.</w:t>
      </w:r>
    </w:p>
    <w:p w:rsidR="00000000" w:rsidDel="00000000" w:rsidP="00000000" w:rsidRDefault="00000000" w:rsidRPr="00000000" w14:paraId="00000043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Dramaturg.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King Lear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by William Shakespeare, a small scale and touring production directed by Anna Bigham &amp; Cece Richardson, Streetlight Shakespeare Ensemble, August 2024 - May 2025. </w:t>
      </w:r>
    </w:p>
    <w:p w:rsidR="00000000" w:rsidDel="00000000" w:rsidP="00000000" w:rsidRDefault="00000000" w:rsidRPr="00000000" w14:paraId="00000045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Bell and Campo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by Margaret Cavendish, a stage reading performed by Streetlight Shakespeare Ensemble, at The Wharf Loft, Mary Baldwin University, 2025. </w:t>
      </w:r>
    </w:p>
    <w:p w:rsidR="00000000" w:rsidDel="00000000" w:rsidP="00000000" w:rsidRDefault="00000000" w:rsidRPr="00000000" w14:paraId="00000047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Problem Scene from William Shakespeare’s Cymbeline,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 practice-as-research project moderated by Ethan Goodmason at The American Shakespeare Center, Staunton, VA, 2024.</w:t>
      </w:r>
    </w:p>
    <w:p w:rsidR="00000000" w:rsidDel="00000000" w:rsidP="00000000" w:rsidRDefault="00000000" w:rsidRPr="00000000" w14:paraId="00000049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Problem Scene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in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Henry V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by William Shakespeare, a practice as research show directed by Ashley Wright, performed at The American Shakespeare Center, Staunton, VA, 2024.</w:t>
      </w:r>
    </w:p>
    <w:p w:rsidR="00000000" w:rsidDel="00000000" w:rsidP="00000000" w:rsidRDefault="00000000" w:rsidRPr="00000000" w14:paraId="0000004B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Director.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Non-recipients and the Letters in Shakespeare’s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Love’s Labours’ Lost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 practice-as-research project moderated at The American Shakespeare Center, Staunton, VA, 2024.</w:t>
      </w:r>
    </w:p>
    <w:p w:rsidR="00000000" w:rsidDel="00000000" w:rsidP="00000000" w:rsidRDefault="00000000" w:rsidRPr="00000000" w14:paraId="0000004D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Director.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Non-recipients and the Letters in Shakespeare’s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Two Gentlemen of Verona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 practice-as-research project moderated at The American Shakespeare Center, Staunton, VA, 2024.</w:t>
      </w:r>
    </w:p>
    <w:p w:rsidR="00000000" w:rsidDel="00000000" w:rsidP="00000000" w:rsidRDefault="00000000" w:rsidRPr="00000000" w14:paraId="0000004F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Problem Scene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in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Mucedorus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by an anonymous author, a practice-as-research project with Kyle Showalter and Dennis Graham, Mary Baldwin University, 2024.  </w:t>
      </w:r>
    </w:p>
    <w:p w:rsidR="00000000" w:rsidDel="00000000" w:rsidP="00000000" w:rsidRDefault="00000000" w:rsidRPr="00000000" w14:paraId="00000051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A scene from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Tempest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performed during a presentation (“Mister Master: Calling Out White Supremacy on the Blackfriars Stage”) by Dr. James Keegan at the 11</w:t>
      </w:r>
      <w:r w:rsidDel="00000000" w:rsidR="00000000" w:rsidRPr="00000000">
        <w:rPr>
          <w:rFonts w:ascii="EB Garamond" w:cs="EB Garamond" w:eastAsia="EB Garamond" w:hAnsi="EB Garamond"/>
          <w:vertAlign w:val="superscript"/>
          <w:rtl w:val="0"/>
        </w:rPr>
        <w:t xml:space="preserve">th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Blackfriars’ Conference, The American Shakespeare Center, Staunton, VA, 2023.</w:t>
      </w:r>
    </w:p>
    <w:p w:rsidR="00000000" w:rsidDel="00000000" w:rsidP="00000000" w:rsidRDefault="00000000" w:rsidRPr="00000000" w14:paraId="00000053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" w:line="256.8" w:lineRule="auto"/>
        <w:ind w:left="720"/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A scene from Shakespeare’s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Tempest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and Jonson’s “Masque of Blackness”,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performed during a presentation (“To Blanch an Ethiop: Motifs of Blackness in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Tempest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and Jonson’s “Masque of Blackness”) by Christina Gutierrez-Dennehy at the 11</w:t>
      </w:r>
      <w:r w:rsidDel="00000000" w:rsidR="00000000" w:rsidRPr="00000000">
        <w:rPr>
          <w:rFonts w:ascii="EB Garamond" w:cs="EB Garamond" w:eastAsia="EB Garamond" w:hAnsi="EB Garamond"/>
          <w:vertAlign w:val="superscript"/>
          <w:rtl w:val="0"/>
        </w:rPr>
        <w:t xml:space="preserve">th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Blackfriars’ Conference, The American Shakespeare Center, Staunton, VA,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" w:line="256.8" w:lineRule="auto"/>
        <w:ind w:left="720"/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Asst. Stage Manager (Graduate Fellow).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Christmas Carol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produced by The American Shakespeare Center, Staunton, VA, 2023.</w:t>
      </w:r>
    </w:p>
    <w:p w:rsidR="00000000" w:rsidDel="00000000" w:rsidP="00000000" w:rsidRDefault="00000000" w:rsidRPr="00000000" w14:paraId="00000057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Actor.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King Henry VI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Part 1, an education show directed by Matthew Davies &amp; Doreen Bechtol, performed at The American Shakespeare Center, Staunton, VA, 2023.</w:t>
      </w:r>
    </w:p>
    <w:p w:rsidR="00000000" w:rsidDel="00000000" w:rsidP="00000000" w:rsidRDefault="00000000" w:rsidRPr="00000000" w14:paraId="00000059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THEATER REVIEWS FEATURED IN</w:t>
      </w:r>
    </w:p>
    <w:p w:rsidR="00000000" w:rsidDel="00000000" w:rsidP="00000000" w:rsidRDefault="00000000" w:rsidRPr="00000000" w14:paraId="0000005B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Goblins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(Streetlight Shakespeare Ensemble) @ The Blackfriars Playhouse” by Dr. Peter Kirwan,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 Bardathon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25 Mar. 2025, </w:t>
      </w:r>
      <w:hyperlink r:id="rId7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The Goblins (Streetlight Shakespeare Ensemble) @ The Blackfriars Playhouse – Dr Peter Kirwan</w:t>
        </w:r>
      </w:hyperlink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Bartholomew Fair (Streetlight Shakespeare Ensemble) @ The Blackfriars Playhouse” by Dr. Peter Kirwan,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Bardathon,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18 Feb. 2025, </w:t>
      </w:r>
      <w:hyperlink r:id="rId8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Bartholomew Fair (Streetlight Shakespeare Ensemble) @ The Blackfriars Playhouse – Dr Peter Kirwan</w:t>
        </w:r>
      </w:hyperlink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 </w:t>
      </w:r>
    </w:p>
    <w:p w:rsidR="00000000" w:rsidDel="00000000" w:rsidP="00000000" w:rsidRDefault="00000000" w:rsidRPr="00000000" w14:paraId="0000005F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“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Much Ado About Nothing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(Streetlight Shakespeare Ensemble) @ The Wharf Loft”  by Dr. Peter Kirwan,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Bardathon,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1st Oct. 2024, </w:t>
      </w:r>
      <w:hyperlink r:id="rId9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Much Ado about Nothing (Streetlight Shakespeare Ensemble) @ The Wharf Loft – Dr Peter Kirwan</w:t>
        </w:r>
      </w:hyperlink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spacing w:after="20" w:line="256.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“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Henry VI Part 1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(Shakespeare &amp; Performance) @ The Blackfriars Playhouse” by Dr. Peter Kirwan,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Bardathon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18 Apr. 2023, </w:t>
      </w:r>
      <w:hyperlink r:id="rId10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Henry VI, Part 1 (MBU Shakespeare &amp; Performance) @ The Blackfriars Playhouse – Dr Peter Kirwan</w:t>
        </w:r>
      </w:hyperlink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" w:line="256.8" w:lineRule="auto"/>
        <w:ind w:left="72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peterkirwan.com/2023/04/18/henry-vi-part-1-mbu-shakespeare-performance-the-blackfriars-playhouse/" TargetMode="External"/><Relationship Id="rId9" Type="http://schemas.openxmlformats.org/officeDocument/2006/relationships/hyperlink" Target="https://drpeterkirwan.com/2024/10/01/much-ado-about-nothing-streetlight-shakespeare-ensemble-the-wharf-loft/" TargetMode="External"/><Relationship Id="rId5" Type="http://schemas.openxmlformats.org/officeDocument/2006/relationships/styles" Target="styles.xml"/><Relationship Id="rId6" Type="http://schemas.openxmlformats.org/officeDocument/2006/relationships/hyperlink" Target="mailto:Ogoe.6@buckeyemail.osu.edu" TargetMode="External"/><Relationship Id="rId7" Type="http://schemas.openxmlformats.org/officeDocument/2006/relationships/hyperlink" Target="https://drpeterkirwan.com/2025/03/25/the-goblins-streetlight-shakespeare-ensemble-the-blackfriars-playhouse/" TargetMode="External"/><Relationship Id="rId8" Type="http://schemas.openxmlformats.org/officeDocument/2006/relationships/hyperlink" Target="https://drpeterkirwan.com/2025/02/18/bartholomew-fair-streetlight-shakespeare-ensemble-the-blackfriars-playhous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